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D2FA" w14:textId="6EE12013" w:rsidR="00754472" w:rsidRPr="00482EF8" w:rsidRDefault="00754472" w:rsidP="0075447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proofErr w:type="spellStart"/>
      <w:r w:rsidRPr="00482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AccuRx</w:t>
      </w:r>
      <w:proofErr w:type="spellEnd"/>
      <w:r w:rsidRPr="00482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Messaging for </w:t>
      </w:r>
      <w:proofErr w:type="spellStart"/>
      <w:r w:rsidRPr="00482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Colecalciferol</w:t>
      </w:r>
      <w:proofErr w:type="spellEnd"/>
      <w:r w:rsidR="0067017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Review 22/23</w:t>
      </w:r>
    </w:p>
    <w:p w14:paraId="5EE58C82" w14:textId="274C2D9F" w:rsidR="00B74902" w:rsidRPr="00482EF8" w:rsidRDefault="00B74902" w:rsidP="0075447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id w:val="391787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3F1916" w14:textId="626D876E" w:rsidR="007C707A" w:rsidRPr="00482EF8" w:rsidRDefault="007C707A">
          <w:pPr>
            <w:pStyle w:val="TOCHeading"/>
            <w:rPr>
              <w:rFonts w:asciiTheme="minorHAnsi" w:hAnsiTheme="minorHAnsi" w:cstheme="minorHAnsi"/>
              <w:sz w:val="24"/>
              <w:szCs w:val="24"/>
            </w:rPr>
          </w:pPr>
          <w:r w:rsidRPr="00482EF8">
            <w:rPr>
              <w:rFonts w:asciiTheme="minorHAnsi" w:hAnsiTheme="minorHAnsi" w:cstheme="minorHAnsi"/>
              <w:sz w:val="24"/>
              <w:szCs w:val="24"/>
            </w:rPr>
            <w:t>Contents</w:t>
          </w:r>
        </w:p>
        <w:p w14:paraId="288AE5EC" w14:textId="0507ADA3" w:rsidR="00482EF8" w:rsidRDefault="007C707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482EF8">
            <w:rPr>
              <w:rFonts w:cstheme="minorHAnsi"/>
              <w:sz w:val="24"/>
              <w:szCs w:val="24"/>
            </w:rPr>
            <w:fldChar w:fldCharType="begin"/>
          </w:r>
          <w:r w:rsidRPr="00482EF8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482EF8">
            <w:rPr>
              <w:rFonts w:cstheme="minorHAnsi"/>
              <w:sz w:val="24"/>
              <w:szCs w:val="24"/>
            </w:rPr>
            <w:fldChar w:fldCharType="separate"/>
          </w:r>
          <w:hyperlink w:anchor="_Toc119524547" w:history="1">
            <w:r w:rsidR="00482EF8" w:rsidRPr="00443D5C">
              <w:rPr>
                <w:rStyle w:val="Hyperlink"/>
                <w:rFonts w:eastAsia="Times New Roman" w:cstheme="minorHAnsi"/>
                <w:noProof/>
              </w:rPr>
              <w:t>Introduction</w:t>
            </w:r>
            <w:r w:rsidR="00482EF8">
              <w:rPr>
                <w:noProof/>
                <w:webHidden/>
              </w:rPr>
              <w:tab/>
            </w:r>
            <w:r w:rsidR="00482EF8">
              <w:rPr>
                <w:noProof/>
                <w:webHidden/>
              </w:rPr>
              <w:fldChar w:fldCharType="begin"/>
            </w:r>
            <w:r w:rsidR="00482EF8">
              <w:rPr>
                <w:noProof/>
                <w:webHidden/>
              </w:rPr>
              <w:instrText xml:space="preserve"> PAGEREF _Toc119524547 \h </w:instrText>
            </w:r>
            <w:r w:rsidR="00482EF8">
              <w:rPr>
                <w:noProof/>
                <w:webHidden/>
              </w:rPr>
            </w:r>
            <w:r w:rsidR="00482EF8">
              <w:rPr>
                <w:noProof/>
                <w:webHidden/>
              </w:rPr>
              <w:fldChar w:fldCharType="separate"/>
            </w:r>
            <w:r w:rsidR="00D4018C">
              <w:rPr>
                <w:noProof/>
                <w:webHidden/>
              </w:rPr>
              <w:t>1</w:t>
            </w:r>
            <w:r w:rsidR="00482EF8">
              <w:rPr>
                <w:noProof/>
                <w:webHidden/>
              </w:rPr>
              <w:fldChar w:fldCharType="end"/>
            </w:r>
          </w:hyperlink>
        </w:p>
        <w:p w14:paraId="73A363B3" w14:textId="3F3C9949" w:rsidR="00482EF8" w:rsidRDefault="009A62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9524548" w:history="1">
            <w:r w:rsidR="00482EF8" w:rsidRPr="00443D5C">
              <w:rPr>
                <w:rStyle w:val="Hyperlink"/>
                <w:rFonts w:cstheme="minorHAnsi"/>
                <w:noProof/>
              </w:rPr>
              <w:t>Leaflets</w:t>
            </w:r>
            <w:r w:rsidR="00482EF8">
              <w:rPr>
                <w:noProof/>
                <w:webHidden/>
              </w:rPr>
              <w:tab/>
            </w:r>
            <w:r w:rsidR="00482EF8">
              <w:rPr>
                <w:noProof/>
                <w:webHidden/>
              </w:rPr>
              <w:fldChar w:fldCharType="begin"/>
            </w:r>
            <w:r w:rsidR="00482EF8">
              <w:rPr>
                <w:noProof/>
                <w:webHidden/>
              </w:rPr>
              <w:instrText xml:space="preserve"> PAGEREF _Toc119524548 \h </w:instrText>
            </w:r>
            <w:r w:rsidR="00482EF8">
              <w:rPr>
                <w:noProof/>
                <w:webHidden/>
              </w:rPr>
            </w:r>
            <w:r w:rsidR="00482EF8">
              <w:rPr>
                <w:noProof/>
                <w:webHidden/>
              </w:rPr>
              <w:fldChar w:fldCharType="separate"/>
            </w:r>
            <w:r w:rsidR="00D4018C">
              <w:rPr>
                <w:noProof/>
                <w:webHidden/>
              </w:rPr>
              <w:t>1</w:t>
            </w:r>
            <w:r w:rsidR="00482EF8">
              <w:rPr>
                <w:noProof/>
                <w:webHidden/>
              </w:rPr>
              <w:fldChar w:fldCharType="end"/>
            </w:r>
          </w:hyperlink>
        </w:p>
        <w:p w14:paraId="5E34C97B" w14:textId="04D6E303" w:rsidR="00482EF8" w:rsidRDefault="009A62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9524549" w:history="1">
            <w:r w:rsidR="00482EF8" w:rsidRPr="00443D5C">
              <w:rPr>
                <w:rStyle w:val="Hyperlink"/>
                <w:rFonts w:eastAsia="Times New Roman" w:cstheme="minorHAnsi"/>
                <w:noProof/>
              </w:rPr>
              <w:t>AccuRx Text Messaging</w:t>
            </w:r>
            <w:r w:rsidR="00482EF8">
              <w:rPr>
                <w:noProof/>
                <w:webHidden/>
              </w:rPr>
              <w:tab/>
            </w:r>
            <w:r w:rsidR="00482EF8">
              <w:rPr>
                <w:noProof/>
                <w:webHidden/>
              </w:rPr>
              <w:fldChar w:fldCharType="begin"/>
            </w:r>
            <w:r w:rsidR="00482EF8">
              <w:rPr>
                <w:noProof/>
                <w:webHidden/>
              </w:rPr>
              <w:instrText xml:space="preserve"> PAGEREF _Toc119524549 \h </w:instrText>
            </w:r>
            <w:r w:rsidR="00482EF8">
              <w:rPr>
                <w:noProof/>
                <w:webHidden/>
              </w:rPr>
            </w:r>
            <w:r w:rsidR="00482EF8">
              <w:rPr>
                <w:noProof/>
                <w:webHidden/>
              </w:rPr>
              <w:fldChar w:fldCharType="separate"/>
            </w:r>
            <w:r w:rsidR="00D4018C">
              <w:rPr>
                <w:noProof/>
                <w:webHidden/>
              </w:rPr>
              <w:t>2</w:t>
            </w:r>
            <w:r w:rsidR="00482EF8">
              <w:rPr>
                <w:noProof/>
                <w:webHidden/>
              </w:rPr>
              <w:fldChar w:fldCharType="end"/>
            </w:r>
          </w:hyperlink>
        </w:p>
        <w:p w14:paraId="2A224C7A" w14:textId="324410B1" w:rsidR="00482EF8" w:rsidRDefault="009A620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9524550" w:history="1">
            <w:r w:rsidR="00482EF8" w:rsidRPr="00443D5C">
              <w:rPr>
                <w:rStyle w:val="Hyperlink"/>
                <w:noProof/>
              </w:rPr>
              <w:t>Prevention</w:t>
            </w:r>
            <w:r w:rsidR="00482EF8">
              <w:rPr>
                <w:noProof/>
                <w:webHidden/>
              </w:rPr>
              <w:tab/>
            </w:r>
            <w:r w:rsidR="00482EF8">
              <w:rPr>
                <w:noProof/>
                <w:webHidden/>
              </w:rPr>
              <w:fldChar w:fldCharType="begin"/>
            </w:r>
            <w:r w:rsidR="00482EF8">
              <w:rPr>
                <w:noProof/>
                <w:webHidden/>
              </w:rPr>
              <w:instrText xml:space="preserve"> PAGEREF _Toc119524550 \h </w:instrText>
            </w:r>
            <w:r w:rsidR="00482EF8">
              <w:rPr>
                <w:noProof/>
                <w:webHidden/>
              </w:rPr>
            </w:r>
            <w:r w:rsidR="00482EF8">
              <w:rPr>
                <w:noProof/>
                <w:webHidden/>
              </w:rPr>
              <w:fldChar w:fldCharType="separate"/>
            </w:r>
            <w:r w:rsidR="00D4018C">
              <w:rPr>
                <w:noProof/>
                <w:webHidden/>
              </w:rPr>
              <w:t>2</w:t>
            </w:r>
            <w:r w:rsidR="00482EF8">
              <w:rPr>
                <w:noProof/>
                <w:webHidden/>
              </w:rPr>
              <w:fldChar w:fldCharType="end"/>
            </w:r>
          </w:hyperlink>
        </w:p>
        <w:p w14:paraId="00DCA12B" w14:textId="7892DEBB" w:rsidR="00482EF8" w:rsidRDefault="009A620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9524551" w:history="1">
            <w:r w:rsidR="00482EF8" w:rsidRPr="00443D5C">
              <w:rPr>
                <w:rStyle w:val="Hyperlink"/>
                <w:noProof/>
              </w:rPr>
              <w:t>Maintenance</w:t>
            </w:r>
            <w:r w:rsidR="00482EF8">
              <w:rPr>
                <w:noProof/>
                <w:webHidden/>
              </w:rPr>
              <w:tab/>
            </w:r>
            <w:r w:rsidR="00482EF8">
              <w:rPr>
                <w:noProof/>
                <w:webHidden/>
              </w:rPr>
              <w:fldChar w:fldCharType="begin"/>
            </w:r>
            <w:r w:rsidR="00482EF8">
              <w:rPr>
                <w:noProof/>
                <w:webHidden/>
              </w:rPr>
              <w:instrText xml:space="preserve"> PAGEREF _Toc119524551 \h </w:instrText>
            </w:r>
            <w:r w:rsidR="00482EF8">
              <w:rPr>
                <w:noProof/>
                <w:webHidden/>
              </w:rPr>
            </w:r>
            <w:r w:rsidR="00482EF8">
              <w:rPr>
                <w:noProof/>
                <w:webHidden/>
              </w:rPr>
              <w:fldChar w:fldCharType="separate"/>
            </w:r>
            <w:r w:rsidR="00D4018C">
              <w:rPr>
                <w:noProof/>
                <w:webHidden/>
              </w:rPr>
              <w:t>2</w:t>
            </w:r>
            <w:r w:rsidR="00482EF8">
              <w:rPr>
                <w:noProof/>
                <w:webHidden/>
              </w:rPr>
              <w:fldChar w:fldCharType="end"/>
            </w:r>
          </w:hyperlink>
        </w:p>
        <w:p w14:paraId="2B1F8E9E" w14:textId="4736B8F3" w:rsidR="00482EF8" w:rsidRDefault="009A62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9524552" w:history="1">
            <w:r w:rsidR="00482EF8" w:rsidRPr="00443D5C">
              <w:rPr>
                <w:rStyle w:val="Hyperlink"/>
                <w:rFonts w:eastAsia="Times New Roman" w:cstheme="minorHAnsi"/>
                <w:noProof/>
              </w:rPr>
              <w:t>Scenarios When You Might Use The Leaflet</w:t>
            </w:r>
            <w:r w:rsidR="00482EF8">
              <w:rPr>
                <w:noProof/>
                <w:webHidden/>
              </w:rPr>
              <w:tab/>
            </w:r>
            <w:r w:rsidR="00482EF8">
              <w:rPr>
                <w:noProof/>
                <w:webHidden/>
              </w:rPr>
              <w:fldChar w:fldCharType="begin"/>
            </w:r>
            <w:r w:rsidR="00482EF8">
              <w:rPr>
                <w:noProof/>
                <w:webHidden/>
              </w:rPr>
              <w:instrText xml:space="preserve"> PAGEREF _Toc119524552 \h </w:instrText>
            </w:r>
            <w:r w:rsidR="00482EF8">
              <w:rPr>
                <w:noProof/>
                <w:webHidden/>
              </w:rPr>
            </w:r>
            <w:r w:rsidR="00482EF8">
              <w:rPr>
                <w:noProof/>
                <w:webHidden/>
              </w:rPr>
              <w:fldChar w:fldCharType="separate"/>
            </w:r>
            <w:r w:rsidR="00D4018C">
              <w:rPr>
                <w:noProof/>
                <w:webHidden/>
              </w:rPr>
              <w:t>3</w:t>
            </w:r>
            <w:r w:rsidR="00482EF8">
              <w:rPr>
                <w:noProof/>
                <w:webHidden/>
              </w:rPr>
              <w:fldChar w:fldCharType="end"/>
            </w:r>
          </w:hyperlink>
        </w:p>
        <w:p w14:paraId="69B22121" w14:textId="74AF0C60" w:rsidR="007C707A" w:rsidRPr="00482EF8" w:rsidRDefault="007C707A">
          <w:pPr>
            <w:rPr>
              <w:rFonts w:cstheme="minorHAnsi"/>
              <w:sz w:val="24"/>
              <w:szCs w:val="24"/>
            </w:rPr>
          </w:pPr>
          <w:r w:rsidRPr="00482EF8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68E0BD0" w14:textId="69A085C4" w:rsidR="007C707A" w:rsidRPr="00CA6FE0" w:rsidRDefault="007C707A" w:rsidP="007C707A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bookmarkStart w:id="0" w:name="_Toc119524547"/>
      <w:r w:rsidRPr="00CA6FE0">
        <w:rPr>
          <w:rFonts w:asciiTheme="minorHAnsi" w:eastAsia="Times New Roman" w:hAnsiTheme="minorHAnsi" w:cstheme="minorHAnsi"/>
          <w:sz w:val="24"/>
          <w:szCs w:val="24"/>
        </w:rPr>
        <w:t>Introduction</w:t>
      </w:r>
      <w:bookmarkEnd w:id="0"/>
    </w:p>
    <w:p w14:paraId="1904FD6E" w14:textId="30614FB1" w:rsidR="007C707A" w:rsidRPr="00CA6FE0" w:rsidRDefault="007C707A" w:rsidP="007C707A">
      <w:pPr>
        <w:rPr>
          <w:rFonts w:cstheme="minorHAnsi"/>
          <w:sz w:val="24"/>
          <w:szCs w:val="24"/>
        </w:rPr>
      </w:pPr>
      <w:r w:rsidRPr="00CA6FE0">
        <w:rPr>
          <w:rFonts w:cstheme="minorHAnsi"/>
          <w:sz w:val="24"/>
          <w:szCs w:val="24"/>
        </w:rPr>
        <w:t>This document</w:t>
      </w:r>
      <w:r w:rsidR="004E1761" w:rsidRPr="00CA6FE0">
        <w:rPr>
          <w:rFonts w:cstheme="minorHAnsi"/>
          <w:sz w:val="24"/>
          <w:szCs w:val="24"/>
        </w:rPr>
        <w:t xml:space="preserve"> provides</w:t>
      </w:r>
      <w:r w:rsidRPr="00CA6FE0">
        <w:rPr>
          <w:rFonts w:cstheme="minorHAnsi"/>
          <w:sz w:val="24"/>
          <w:szCs w:val="24"/>
        </w:rPr>
        <w:t xml:space="preserve"> suggested wording for practices to use</w:t>
      </w:r>
      <w:r w:rsidR="00670177" w:rsidRPr="00CA6FE0">
        <w:rPr>
          <w:rFonts w:cstheme="minorHAnsi"/>
          <w:sz w:val="24"/>
          <w:szCs w:val="24"/>
        </w:rPr>
        <w:t xml:space="preserve"> (or adapt)</w:t>
      </w:r>
      <w:r w:rsidRPr="00CA6FE0">
        <w:rPr>
          <w:rFonts w:cstheme="minorHAnsi"/>
          <w:sz w:val="24"/>
          <w:szCs w:val="24"/>
        </w:rPr>
        <w:t xml:space="preserve"> in text</w:t>
      </w:r>
      <w:r w:rsidR="004E1761" w:rsidRPr="00CA6FE0">
        <w:rPr>
          <w:rFonts w:cstheme="minorHAnsi"/>
          <w:sz w:val="24"/>
          <w:szCs w:val="24"/>
        </w:rPr>
        <w:t xml:space="preserve"> messages from</w:t>
      </w:r>
      <w:r w:rsidRPr="00CA6FE0">
        <w:rPr>
          <w:rFonts w:cstheme="minorHAnsi"/>
          <w:sz w:val="24"/>
          <w:szCs w:val="24"/>
        </w:rPr>
        <w:t xml:space="preserve"> GP practices.</w:t>
      </w:r>
      <w:r w:rsidR="00670177" w:rsidRPr="00CA6FE0">
        <w:rPr>
          <w:rFonts w:cstheme="minorHAnsi"/>
          <w:sz w:val="24"/>
          <w:szCs w:val="24"/>
        </w:rPr>
        <w:t xml:space="preserve"> The</w:t>
      </w:r>
      <w:r w:rsidRPr="00CA6FE0">
        <w:rPr>
          <w:rFonts w:cstheme="minorHAnsi"/>
          <w:sz w:val="24"/>
          <w:szCs w:val="24"/>
        </w:rPr>
        <w:t xml:space="preserve"> included scenarios </w:t>
      </w:r>
      <w:r w:rsidR="00670177" w:rsidRPr="00CA6FE0">
        <w:rPr>
          <w:rFonts w:cstheme="minorHAnsi"/>
          <w:sz w:val="24"/>
          <w:szCs w:val="24"/>
        </w:rPr>
        <w:t>give</w:t>
      </w:r>
      <w:r w:rsidRPr="00CA6FE0">
        <w:rPr>
          <w:rFonts w:cstheme="minorHAnsi"/>
          <w:sz w:val="24"/>
          <w:szCs w:val="24"/>
        </w:rPr>
        <w:t xml:space="preserve"> examples of which leaflet is sent</w:t>
      </w:r>
      <w:r w:rsidR="004E1761" w:rsidRPr="00CA6FE0">
        <w:rPr>
          <w:rFonts w:cstheme="minorHAnsi"/>
          <w:sz w:val="24"/>
          <w:szCs w:val="24"/>
        </w:rPr>
        <w:t xml:space="preserve"> and</w:t>
      </w:r>
      <w:r w:rsidRPr="00CA6FE0">
        <w:rPr>
          <w:rFonts w:cstheme="minorHAnsi"/>
          <w:sz w:val="24"/>
          <w:szCs w:val="24"/>
        </w:rPr>
        <w:t xml:space="preserve"> when. If the links in the text messaging do not </w:t>
      </w:r>
      <w:r w:rsidR="004E1761" w:rsidRPr="00CA6FE0">
        <w:rPr>
          <w:rFonts w:cstheme="minorHAnsi"/>
          <w:sz w:val="24"/>
          <w:szCs w:val="24"/>
        </w:rPr>
        <w:t>work,</w:t>
      </w:r>
      <w:r w:rsidRPr="00CA6FE0">
        <w:rPr>
          <w:rFonts w:cstheme="minorHAnsi"/>
          <w:sz w:val="24"/>
          <w:szCs w:val="24"/>
        </w:rPr>
        <w:t xml:space="preserve"> then it is best that the practice manager saves the leaflets on to </w:t>
      </w:r>
      <w:r w:rsidR="00D4018C" w:rsidRPr="00CA6FE0">
        <w:rPr>
          <w:rFonts w:cstheme="minorHAnsi"/>
          <w:sz w:val="24"/>
          <w:szCs w:val="24"/>
        </w:rPr>
        <w:t>EMIS</w:t>
      </w:r>
      <w:r w:rsidRPr="00CA6FE0">
        <w:rPr>
          <w:rFonts w:cstheme="minorHAnsi"/>
          <w:sz w:val="24"/>
          <w:szCs w:val="24"/>
        </w:rPr>
        <w:t xml:space="preserve"> or </w:t>
      </w:r>
      <w:proofErr w:type="spellStart"/>
      <w:r w:rsidR="00D4018C" w:rsidRPr="00CA6FE0">
        <w:rPr>
          <w:rFonts w:cstheme="minorHAnsi"/>
          <w:sz w:val="24"/>
          <w:szCs w:val="24"/>
        </w:rPr>
        <w:t>S</w:t>
      </w:r>
      <w:r w:rsidRPr="00CA6FE0">
        <w:rPr>
          <w:rFonts w:cstheme="minorHAnsi"/>
          <w:sz w:val="24"/>
          <w:szCs w:val="24"/>
        </w:rPr>
        <w:t>ystm</w:t>
      </w:r>
      <w:r w:rsidR="00D4018C" w:rsidRPr="00CA6FE0">
        <w:rPr>
          <w:rFonts w:cstheme="minorHAnsi"/>
          <w:sz w:val="24"/>
          <w:szCs w:val="24"/>
        </w:rPr>
        <w:t>O</w:t>
      </w:r>
      <w:r w:rsidRPr="00CA6FE0">
        <w:rPr>
          <w:rFonts w:cstheme="minorHAnsi"/>
          <w:sz w:val="24"/>
          <w:szCs w:val="24"/>
        </w:rPr>
        <w:t>ne</w:t>
      </w:r>
      <w:proofErr w:type="spellEnd"/>
      <w:r w:rsidRPr="00CA6FE0">
        <w:rPr>
          <w:rFonts w:cstheme="minorHAnsi"/>
          <w:sz w:val="24"/>
          <w:szCs w:val="24"/>
        </w:rPr>
        <w:t xml:space="preserve"> so that they can be sent as attachments to the text.</w:t>
      </w:r>
    </w:p>
    <w:p w14:paraId="53FDC5F6" w14:textId="73B25A8E" w:rsidR="007C707A" w:rsidRPr="00CA6FE0" w:rsidRDefault="007C707A" w:rsidP="007C707A">
      <w:pPr>
        <w:rPr>
          <w:rFonts w:cstheme="minorHAnsi"/>
          <w:sz w:val="24"/>
          <w:szCs w:val="24"/>
        </w:rPr>
      </w:pPr>
      <w:bookmarkStart w:id="1" w:name="_Toc119524548"/>
      <w:r w:rsidRPr="00CA6FE0">
        <w:rPr>
          <w:rStyle w:val="Heading1Char"/>
          <w:rFonts w:asciiTheme="minorHAnsi" w:hAnsiTheme="minorHAnsi" w:cstheme="minorHAnsi"/>
          <w:sz w:val="24"/>
          <w:szCs w:val="24"/>
        </w:rPr>
        <w:t>Leaflets</w:t>
      </w:r>
      <w:bookmarkEnd w:id="1"/>
      <w:r w:rsidRPr="00CA6FE0">
        <w:rPr>
          <w:rFonts w:cstheme="minorHAnsi"/>
          <w:sz w:val="24"/>
          <w:szCs w:val="24"/>
        </w:rPr>
        <w:t xml:space="preserve"> can be found here:</w:t>
      </w:r>
    </w:p>
    <w:p w14:paraId="1C48F765" w14:textId="4BFF3E15" w:rsidR="007C707A" w:rsidRPr="00CA6FE0" w:rsidRDefault="007C707A" w:rsidP="007C707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A6FE0">
        <w:rPr>
          <w:rFonts w:cstheme="minorHAnsi"/>
          <w:sz w:val="24"/>
          <w:szCs w:val="24"/>
        </w:rPr>
        <w:t xml:space="preserve">Prevention: </w:t>
      </w:r>
      <w:hyperlink r:id="rId8" w:history="1">
        <w:r w:rsidRPr="00CA6FE0">
          <w:rPr>
            <w:rStyle w:val="Hyperlink"/>
            <w:rFonts w:cstheme="minorHAnsi"/>
            <w:sz w:val="24"/>
            <w:szCs w:val="24"/>
          </w:rPr>
          <w:t>Information to prevent low vitamin D levels</w:t>
        </w:r>
      </w:hyperlink>
    </w:p>
    <w:p w14:paraId="19FD7895" w14:textId="6EC25C10" w:rsidR="007C707A" w:rsidRPr="00CA6FE0" w:rsidRDefault="007C707A" w:rsidP="007C707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A6FE0">
        <w:rPr>
          <w:rFonts w:cstheme="minorHAnsi"/>
          <w:sz w:val="24"/>
          <w:szCs w:val="24"/>
        </w:rPr>
        <w:t xml:space="preserve">Maintenance: </w:t>
      </w:r>
      <w:hyperlink r:id="rId9" w:history="1">
        <w:r w:rsidRPr="00CA6FE0">
          <w:rPr>
            <w:rStyle w:val="Hyperlink"/>
            <w:rFonts w:cstheme="minorHAnsi"/>
            <w:sz w:val="24"/>
            <w:szCs w:val="24"/>
          </w:rPr>
          <w:t>Information about vitamin D supplements to treat low vitamin D levels</w:t>
        </w:r>
      </w:hyperlink>
      <w:r w:rsidRPr="00CA6FE0">
        <w:rPr>
          <w:rFonts w:cstheme="minorHAnsi"/>
          <w:sz w:val="24"/>
          <w:szCs w:val="24"/>
        </w:rPr>
        <w:t xml:space="preserve"> </w:t>
      </w:r>
    </w:p>
    <w:p w14:paraId="7D9D039A" w14:textId="37791D95" w:rsidR="007C707A" w:rsidRPr="00482EF8" w:rsidRDefault="007C707A" w:rsidP="007C707A">
      <w:pPr>
        <w:rPr>
          <w:rFonts w:cstheme="minorHAnsi"/>
          <w:sz w:val="24"/>
          <w:szCs w:val="24"/>
        </w:rPr>
      </w:pPr>
      <w:r w:rsidRPr="00CA6FE0">
        <w:rPr>
          <w:rFonts w:cstheme="minorHAnsi"/>
          <w:sz w:val="24"/>
          <w:szCs w:val="24"/>
        </w:rPr>
        <w:t xml:space="preserve">Practice managers will know how to set these messages up on </w:t>
      </w:r>
      <w:proofErr w:type="spellStart"/>
      <w:r w:rsidR="004E1761" w:rsidRPr="00CA6FE0">
        <w:rPr>
          <w:rFonts w:cstheme="minorHAnsi"/>
          <w:sz w:val="24"/>
          <w:szCs w:val="24"/>
        </w:rPr>
        <w:t>A</w:t>
      </w:r>
      <w:r w:rsidRPr="00CA6FE0">
        <w:rPr>
          <w:rFonts w:cstheme="minorHAnsi"/>
          <w:sz w:val="24"/>
          <w:szCs w:val="24"/>
        </w:rPr>
        <w:t>ccuRx</w:t>
      </w:r>
      <w:proofErr w:type="spellEnd"/>
    </w:p>
    <w:p w14:paraId="797EA9C4" w14:textId="77777777" w:rsidR="007C707A" w:rsidRPr="00482EF8" w:rsidRDefault="007C707A">
      <w:pPr>
        <w:rPr>
          <w:rFonts w:eastAsia="Times New Roman" w:cstheme="minorHAnsi"/>
          <w:b/>
          <w:color w:val="0070C0"/>
          <w:sz w:val="24"/>
          <w:szCs w:val="24"/>
        </w:rPr>
      </w:pPr>
      <w:r w:rsidRPr="00482EF8">
        <w:rPr>
          <w:rFonts w:eastAsia="Times New Roman" w:cstheme="minorHAnsi"/>
          <w:sz w:val="24"/>
          <w:szCs w:val="24"/>
        </w:rPr>
        <w:br w:type="page"/>
      </w:r>
    </w:p>
    <w:p w14:paraId="452D3679" w14:textId="772FA29F" w:rsidR="007C707A" w:rsidRPr="00482EF8" w:rsidRDefault="007C707A" w:rsidP="007C707A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bookmarkStart w:id="2" w:name="_Toc119524549"/>
      <w:proofErr w:type="spellStart"/>
      <w:r w:rsidRPr="00482EF8">
        <w:rPr>
          <w:rFonts w:asciiTheme="minorHAnsi" w:eastAsia="Times New Roman" w:hAnsiTheme="minorHAnsi" w:cstheme="minorHAnsi"/>
          <w:sz w:val="24"/>
          <w:szCs w:val="24"/>
        </w:rPr>
        <w:lastRenderedPageBreak/>
        <w:t>AccuRx</w:t>
      </w:r>
      <w:proofErr w:type="spellEnd"/>
      <w:r w:rsidRPr="00482EF8">
        <w:rPr>
          <w:rFonts w:asciiTheme="minorHAnsi" w:eastAsia="Times New Roman" w:hAnsiTheme="minorHAnsi" w:cstheme="minorHAnsi"/>
          <w:sz w:val="24"/>
          <w:szCs w:val="24"/>
        </w:rPr>
        <w:t xml:space="preserve"> Text Messaging</w:t>
      </w:r>
      <w:bookmarkEnd w:id="2"/>
    </w:p>
    <w:p w14:paraId="307EF0CC" w14:textId="770316E3" w:rsidR="00B74902" w:rsidRPr="00482EF8" w:rsidRDefault="00CA6FE0" w:rsidP="00B7490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Pr="00482E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revention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messages </w:t>
      </w:r>
      <w:r w:rsidRPr="00482EF8">
        <w:rPr>
          <w:rFonts w:eastAsia="Times New Roman" w:cstheme="minorHAnsi"/>
          <w:color w:val="000000"/>
          <w:sz w:val="24"/>
          <w:szCs w:val="24"/>
          <w:lang w:eastAsia="en-GB"/>
        </w:rPr>
        <w:t>will be used more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frequently</w:t>
      </w:r>
      <w:r w:rsidRPr="00482E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than maintenance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messages, so to ensure they appear before the maintenance message on the clinical system it</w:t>
      </w:r>
      <w:r w:rsidR="00B74902" w:rsidRPr="00482E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important that you title the messages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exactly </w:t>
      </w:r>
      <w:r w:rsidR="00B74902" w:rsidRPr="00482EF8">
        <w:rPr>
          <w:rFonts w:eastAsia="Times New Roman" w:cstheme="minorHAnsi"/>
          <w:color w:val="000000"/>
          <w:sz w:val="24"/>
          <w:szCs w:val="24"/>
          <w:lang w:eastAsia="en-GB"/>
        </w:rPr>
        <w:t>as below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B74902" w:rsidRPr="00482E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6B0F5016" w14:textId="458058D3" w:rsidR="00B74902" w:rsidRPr="00482EF8" w:rsidRDefault="00B74902" w:rsidP="00B7490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7DC61CE" w14:textId="11B5C5CB" w:rsidR="00B74902" w:rsidRPr="00482EF8" w:rsidRDefault="00B74902" w:rsidP="00B7490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482EF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The wording are suggestions only, but practices can amend or write their own if they prefer</w:t>
      </w:r>
      <w:r w:rsidR="007C707A" w:rsidRPr="00482EF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.</w:t>
      </w:r>
      <w:r w:rsidR="00325559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Always check links are correct.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74902" w:rsidRPr="00482EF8" w14:paraId="3FAADD24" w14:textId="77777777" w:rsidTr="00250207">
        <w:tc>
          <w:tcPr>
            <w:tcW w:w="5000" w:type="pct"/>
            <w:shd w:val="clear" w:color="auto" w:fill="DEEAF6" w:themeFill="accent5" w:themeFillTint="33"/>
          </w:tcPr>
          <w:p w14:paraId="676BA8B8" w14:textId="77777777" w:rsidR="00B74902" w:rsidRPr="00482EF8" w:rsidRDefault="00B74902" w:rsidP="00482EF8">
            <w:pPr>
              <w:pStyle w:val="Heading2"/>
              <w:outlineLvl w:val="1"/>
            </w:pPr>
            <w:bookmarkStart w:id="3" w:name="_Toc119524550"/>
            <w:r w:rsidRPr="00482EF8">
              <w:t>Prevention</w:t>
            </w:r>
            <w:bookmarkEnd w:id="3"/>
          </w:p>
          <w:p w14:paraId="0167187D" w14:textId="27A8000B" w:rsidR="00B74902" w:rsidRPr="00482EF8" w:rsidRDefault="00B74902" w:rsidP="00B74902">
            <w:pPr>
              <w:ind w:left="7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Title </w:t>
            </w:r>
            <w:r w:rsidR="009658F7"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of </w:t>
            </w:r>
            <w:proofErr w:type="spellStart"/>
            <w:r w:rsidR="009658F7"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AccuRx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message: </w:t>
            </w:r>
          </w:p>
          <w:p w14:paraId="6B232A08" w14:textId="13AAFF4D" w:rsidR="00B74902" w:rsidRPr="00482EF8" w:rsidRDefault="00B74902" w:rsidP="00B74902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Vitamin D Prevention Advice</w:t>
            </w:r>
            <w:r w:rsidR="00482EF8"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-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400</w:t>
            </w:r>
            <w:r w:rsidR="009658F7"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iu OTC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F105EB5" w14:textId="77777777" w:rsidR="00B74902" w:rsidRPr="00482EF8" w:rsidRDefault="00B74902" w:rsidP="00B74902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11DE1DA1" w14:textId="77777777" w:rsidR="007C707A" w:rsidRPr="00482EF8" w:rsidRDefault="00B74902" w:rsidP="007C707A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Body of </w:t>
            </w:r>
            <w:proofErr w:type="spellStart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AccuRx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message: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BA3361F" w14:textId="1ADB71C7" w:rsidR="00B74902" w:rsidRDefault="007C707A" w:rsidP="007C707A">
            <w:pPr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NHS </w:t>
            </w:r>
            <w:r w:rsidRPr="00CA6FE0">
              <w:rPr>
                <w:rFonts w:cstheme="minorHAnsi"/>
                <w:sz w:val="24"/>
                <w:szCs w:val="24"/>
              </w:rPr>
              <w:t xml:space="preserve">England </w:t>
            </w:r>
            <w:r w:rsidR="0078120B" w:rsidRPr="00CA6FE0">
              <w:rPr>
                <w:rFonts w:cstheme="minorHAnsi"/>
                <w:sz w:val="24"/>
                <w:szCs w:val="24"/>
              </w:rPr>
              <w:t>advi</w:t>
            </w:r>
            <w:r w:rsidR="004E1761" w:rsidRPr="00CA6FE0">
              <w:rPr>
                <w:rFonts w:cstheme="minorHAnsi"/>
                <w:sz w:val="24"/>
                <w:szCs w:val="24"/>
              </w:rPr>
              <w:t>s</w:t>
            </w:r>
            <w:r w:rsidR="0078120B" w:rsidRPr="00CA6FE0">
              <w:rPr>
                <w:rFonts w:cstheme="minorHAnsi"/>
                <w:sz w:val="24"/>
                <w:szCs w:val="24"/>
              </w:rPr>
              <w:t>e</w:t>
            </w:r>
            <w:r w:rsidRPr="00CA6FE0">
              <w:rPr>
                <w:rFonts w:cstheme="minorHAnsi"/>
                <w:sz w:val="24"/>
                <w:szCs w:val="24"/>
              </w:rPr>
              <w:t xml:space="preserve"> that your GP should </w:t>
            </w:r>
            <w:r w:rsidRPr="00CA6FE0">
              <w:rPr>
                <w:rFonts w:cstheme="minorHAnsi"/>
                <w:b/>
                <w:bCs/>
                <w:sz w:val="24"/>
                <w:szCs w:val="24"/>
              </w:rPr>
              <w:t>not</w:t>
            </w:r>
            <w:r w:rsidRPr="00CA6FE0">
              <w:rPr>
                <w:rFonts w:cstheme="minorHAnsi"/>
                <w:sz w:val="24"/>
                <w:szCs w:val="24"/>
              </w:rPr>
              <w:t xml:space="preserve"> prescribe vitamin D (</w:t>
            </w:r>
            <w:proofErr w:type="spellStart"/>
            <w:r w:rsidRPr="00CA6FE0">
              <w:rPr>
                <w:rFonts w:cstheme="minorHAnsi"/>
                <w:sz w:val="24"/>
                <w:szCs w:val="24"/>
              </w:rPr>
              <w:t>colecalciferol</w:t>
            </w:r>
            <w:proofErr w:type="spellEnd"/>
            <w:r w:rsidRPr="00CA6FE0">
              <w:rPr>
                <w:rFonts w:cstheme="minorHAnsi"/>
                <w:sz w:val="24"/>
                <w:szCs w:val="24"/>
              </w:rPr>
              <w:t>) for routine prevention.  You are advised</w:t>
            </w:r>
            <w:r w:rsidRPr="00482EF8">
              <w:rPr>
                <w:rFonts w:cstheme="minorHAnsi"/>
                <w:sz w:val="24"/>
                <w:szCs w:val="24"/>
              </w:rPr>
              <w:t xml:space="preserve"> to take 400 IU (10 micrograms) of vitamin D daily. Please purchase this from a pharmacy or supermarket. </w:t>
            </w:r>
            <w:r w:rsidRPr="00482EF8">
              <w:rPr>
                <w:rFonts w:cstheme="minorHAnsi"/>
                <w:color w:val="000000"/>
                <w:sz w:val="24"/>
                <w:szCs w:val="24"/>
              </w:rPr>
              <w:t>Please see link for leaflet on "Information to prevent low vitamin D levels”: shorturl.at/eB368</w:t>
            </w:r>
          </w:p>
          <w:p w14:paraId="490C34CB" w14:textId="77777777" w:rsidR="00482EF8" w:rsidRDefault="00482EF8" w:rsidP="007C707A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B54CF8B" w14:textId="5B3DB912" w:rsidR="00482EF8" w:rsidRPr="00482EF8" w:rsidRDefault="00482EF8" w:rsidP="00482EF8">
            <w:pPr>
              <w:ind w:left="720"/>
              <w:rPr>
                <w:rFonts w:eastAsia="Times New Roman" w:cstheme="minorHAnsi"/>
                <w:color w:val="4472C4" w:themeColor="accen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Alternative</w:t>
            </w:r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AccuRx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message: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Vitamin D (</w:t>
            </w:r>
            <w:proofErr w:type="spellStart"/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colecalciferol</w:t>
            </w:r>
            <w:proofErr w:type="spellEnd"/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) is no longer recommended for routine prescribing by GPs. If currently prescribed it has been removed from your prescription. NHS England recommended that you now purchase vitamin D </w:t>
            </w:r>
            <w:r w:rsidR="00CA6FE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from a pharmacy or supermarket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of 400iu (10 micrograms) daily. Please see link for leaflet on "Information to prevent low vitamin D levels”: shorturl.at/eB368</w:t>
            </w:r>
          </w:p>
        </w:tc>
      </w:tr>
    </w:tbl>
    <w:p w14:paraId="2D3C7C71" w14:textId="77F259B9" w:rsidR="00B74902" w:rsidRPr="00482EF8" w:rsidRDefault="00B74902" w:rsidP="00B7490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74902" w:rsidRPr="00482EF8" w14:paraId="6166812C" w14:textId="77777777" w:rsidTr="00482EF8">
        <w:tc>
          <w:tcPr>
            <w:tcW w:w="5000" w:type="pct"/>
            <w:shd w:val="clear" w:color="auto" w:fill="FFF2CC" w:themeFill="accent4" w:themeFillTint="33"/>
          </w:tcPr>
          <w:p w14:paraId="2E3E0D88" w14:textId="77777777" w:rsidR="00B74902" w:rsidRPr="00482EF8" w:rsidRDefault="00B74902" w:rsidP="00482EF8">
            <w:pPr>
              <w:pStyle w:val="Heading2"/>
              <w:outlineLvl w:val="1"/>
            </w:pPr>
            <w:bookmarkStart w:id="4" w:name="_Toc119524551"/>
            <w:r w:rsidRPr="00482EF8">
              <w:t>Maintenance</w:t>
            </w:r>
            <w:bookmarkEnd w:id="4"/>
            <w:r w:rsidRPr="00482EF8">
              <w:t xml:space="preserve"> </w:t>
            </w:r>
          </w:p>
          <w:p w14:paraId="1D99F3B9" w14:textId="418283CA" w:rsidR="00B74902" w:rsidRPr="00482EF8" w:rsidRDefault="00B74902" w:rsidP="00B74902">
            <w:pPr>
              <w:ind w:left="7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Title </w:t>
            </w:r>
            <w:r w:rsidR="009658F7"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of </w:t>
            </w:r>
            <w:proofErr w:type="spellStart"/>
            <w:r w:rsidR="009658F7"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AccuRx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message: </w:t>
            </w:r>
          </w:p>
          <w:p w14:paraId="3627C777" w14:textId="3BF03E89" w:rsidR="00B74902" w:rsidRPr="00482EF8" w:rsidRDefault="00B74902" w:rsidP="00B74902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Vitamin D to </w:t>
            </w:r>
            <w:r w:rsid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reat </w:t>
            </w:r>
            <w:r w:rsid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ow </w:t>
            </w:r>
            <w:r w:rsid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evels – 1000 </w:t>
            </w:r>
            <w:proofErr w:type="spellStart"/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iu</w:t>
            </w:r>
            <w:proofErr w:type="spellEnd"/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OTC</w:t>
            </w:r>
          </w:p>
          <w:p w14:paraId="2F1BF01B" w14:textId="77777777" w:rsidR="00B74902" w:rsidRPr="00482EF8" w:rsidRDefault="00B74902" w:rsidP="00B74902">
            <w:pPr>
              <w:ind w:left="7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DD70769" w14:textId="77777777" w:rsidR="00B74902" w:rsidRPr="00482EF8" w:rsidRDefault="00B74902" w:rsidP="00B74902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Body of </w:t>
            </w:r>
            <w:proofErr w:type="spellStart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AccuRx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message: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04DA9AC" w14:textId="3091B29E" w:rsidR="00B74902" w:rsidRDefault="0085146E" w:rsidP="007C707A">
            <w:pPr>
              <w:ind w:left="720"/>
              <w:rPr>
                <w:rStyle w:val="cf21"/>
                <w:rFonts w:asciiTheme="minorHAnsi" w:hAnsiTheme="minorHAnsi" w:cstheme="minorHAnsi"/>
                <w:sz w:val="24"/>
                <w:szCs w:val="24"/>
              </w:rPr>
            </w:pPr>
            <w:r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NHS England </w:t>
            </w:r>
            <w:r w:rsidR="00482EF8"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advises</w:t>
            </w:r>
            <w:r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that your GP should not prescribe vitamin D (</w:t>
            </w:r>
            <w:proofErr w:type="spellStart"/>
            <w:r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colecalciferol</w:t>
            </w:r>
            <w:proofErr w:type="spellEnd"/>
            <w:r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) for routine prevention. You should take 1000 IU (25 micrograms) of vitamin D daily. </w:t>
            </w:r>
            <w:r w:rsidR="007C707A"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Please purchase this from a pharmacy or supermarket. </w:t>
            </w:r>
            <w:r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2EF8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 xml:space="preserve">Please see link for leaflet on </w:t>
            </w:r>
            <w:r w:rsidR="007C707A" w:rsidRPr="00482EF8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“</w:t>
            </w:r>
            <w:r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Information about vitamin D supplements to treat low vitamin D levels – Maintenance Dose”</w:t>
            </w:r>
            <w:r w:rsidR="007C707A" w:rsidRPr="00482E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AB45C2" w:rsidRPr="00AB45C2">
              <w:rPr>
                <w:rStyle w:val="cf21"/>
                <w:rFonts w:asciiTheme="minorHAnsi" w:hAnsiTheme="minorHAnsi" w:cstheme="minorHAnsi"/>
                <w:sz w:val="24"/>
                <w:szCs w:val="24"/>
              </w:rPr>
              <w:t>shorturl.at/abf05</w:t>
            </w:r>
          </w:p>
          <w:p w14:paraId="56F1BFC6" w14:textId="77777777" w:rsidR="00482EF8" w:rsidRDefault="00482EF8" w:rsidP="007C707A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1356F37D" w14:textId="79B0320C" w:rsidR="00482EF8" w:rsidRPr="00482EF8" w:rsidRDefault="00482EF8" w:rsidP="00482EF8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Alternative</w:t>
            </w:r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AccuRx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message: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9C7ACC0" w14:textId="61E2146E" w:rsidR="00482EF8" w:rsidRPr="00482EF8" w:rsidRDefault="00482EF8" w:rsidP="00482EF8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Vitamin D (</w:t>
            </w:r>
            <w:proofErr w:type="spellStart"/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colecalciferol</w:t>
            </w:r>
            <w:proofErr w:type="spellEnd"/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) is no longer recommended for routine prescribing by GPs. If currently prescribed it has been removed from your prescription. It is recommended you purchase vitamin D 1000iu (25 micrograms) </w:t>
            </w:r>
            <w:r w:rsidR="00CA6FE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from a pharmacy or supermarket</w:t>
            </w:r>
            <w:r w:rsidR="00CA6FE0"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82EF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 take daily. Please see leaflet by clicking on link “</w:t>
            </w:r>
            <w:r w:rsidRPr="00482EF8">
              <w:rPr>
                <w:rFonts w:cstheme="minorHAnsi"/>
                <w:sz w:val="24"/>
                <w:szCs w:val="24"/>
              </w:rPr>
              <w:t>Information about vitamin D supplements to treat low vitamin D levels – Maintenance Dose”</w:t>
            </w:r>
            <w:r w:rsidRPr="00482EF8">
              <w:rPr>
                <w:rFonts w:eastAsia="Times New Roman" w:cstheme="minorHAnsi"/>
                <w:color w:val="4472C4" w:themeColor="accent1"/>
                <w:sz w:val="24"/>
                <w:szCs w:val="24"/>
                <w:lang w:eastAsia="en-GB"/>
              </w:rPr>
              <w:t xml:space="preserve"> </w:t>
            </w:r>
            <w:r w:rsidR="00AB45C2" w:rsidRPr="00AB45C2">
              <w:rPr>
                <w:rStyle w:val="cf21"/>
                <w:rFonts w:asciiTheme="minorHAnsi" w:hAnsiTheme="minorHAnsi" w:cstheme="minorHAnsi"/>
                <w:sz w:val="24"/>
                <w:szCs w:val="24"/>
              </w:rPr>
              <w:t>shorturl.at/abf05</w:t>
            </w:r>
          </w:p>
          <w:p w14:paraId="27BF573D" w14:textId="77777777" w:rsidR="00482EF8" w:rsidRDefault="00482EF8" w:rsidP="007C707A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2E97626" w14:textId="175F84BC" w:rsidR="00482EF8" w:rsidRPr="00482EF8" w:rsidRDefault="00482EF8" w:rsidP="007C707A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Note if GPs are recommending to patient a higher dose of 2000 to 4000 </w:t>
            </w:r>
            <w:proofErr w:type="spellStart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iu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they can amend the 1000 </w:t>
            </w:r>
            <w:proofErr w:type="spellStart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iu</w:t>
            </w:r>
            <w:proofErr w:type="spellEnd"/>
            <w:r w:rsidRPr="00482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in the text to state this</w:t>
            </w:r>
          </w:p>
        </w:tc>
      </w:tr>
    </w:tbl>
    <w:p w14:paraId="298253C8" w14:textId="5B8AA917" w:rsidR="007C707A" w:rsidRPr="00482EF8" w:rsidRDefault="007C707A">
      <w:pPr>
        <w:rPr>
          <w:rFonts w:eastAsia="Times New Roman" w:cstheme="minorHAnsi"/>
          <w:b/>
          <w:color w:val="0070C0"/>
          <w:sz w:val="24"/>
          <w:szCs w:val="24"/>
        </w:rPr>
      </w:pPr>
    </w:p>
    <w:p w14:paraId="7922DBF8" w14:textId="59BC57D4" w:rsidR="00754472" w:rsidRPr="00482EF8" w:rsidRDefault="007C707A" w:rsidP="007C707A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bookmarkStart w:id="5" w:name="_Toc119524552"/>
      <w:r w:rsidRPr="00482EF8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Scenarios When You Might Use </w:t>
      </w:r>
      <w:proofErr w:type="gramStart"/>
      <w:r w:rsidRPr="00482EF8">
        <w:rPr>
          <w:rFonts w:asciiTheme="minorHAnsi" w:eastAsia="Times New Roman" w:hAnsiTheme="minorHAnsi" w:cstheme="minorHAnsi"/>
          <w:sz w:val="24"/>
          <w:szCs w:val="24"/>
        </w:rPr>
        <w:t>The</w:t>
      </w:r>
      <w:proofErr w:type="gramEnd"/>
      <w:r w:rsidRPr="00482EF8">
        <w:rPr>
          <w:rFonts w:asciiTheme="minorHAnsi" w:eastAsia="Times New Roman" w:hAnsiTheme="minorHAnsi" w:cstheme="minorHAnsi"/>
          <w:sz w:val="24"/>
          <w:szCs w:val="24"/>
        </w:rPr>
        <w:t xml:space="preserve"> Leaflet</w:t>
      </w:r>
      <w:bookmarkEnd w:id="5"/>
    </w:p>
    <w:p w14:paraId="66BE914D" w14:textId="3E0AC9F1" w:rsidR="00B74902" w:rsidRPr="00482EF8" w:rsidRDefault="00B74902" w:rsidP="00B74902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B74902" w:rsidRPr="00482EF8" w14:paraId="620CB27D" w14:textId="77777777" w:rsidTr="00250207">
        <w:tc>
          <w:tcPr>
            <w:tcW w:w="2500" w:type="pct"/>
          </w:tcPr>
          <w:p w14:paraId="0E51D56F" w14:textId="77777777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>Scenario</w:t>
            </w:r>
          </w:p>
        </w:tc>
        <w:tc>
          <w:tcPr>
            <w:tcW w:w="2500" w:type="pct"/>
          </w:tcPr>
          <w:p w14:paraId="7475B0CE" w14:textId="038567CC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Leaflet to attach to </w:t>
            </w:r>
            <w:proofErr w:type="spellStart"/>
            <w:r w:rsidR="00CA6FE0">
              <w:rPr>
                <w:rFonts w:cstheme="minorHAnsi"/>
                <w:sz w:val="24"/>
                <w:szCs w:val="24"/>
              </w:rPr>
              <w:t>A</w:t>
            </w:r>
            <w:r w:rsidRPr="00482EF8">
              <w:rPr>
                <w:rFonts w:cstheme="minorHAnsi"/>
                <w:sz w:val="24"/>
                <w:szCs w:val="24"/>
              </w:rPr>
              <w:t>ccuRx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message</w:t>
            </w:r>
          </w:p>
        </w:tc>
      </w:tr>
      <w:tr w:rsidR="00B74902" w:rsidRPr="00482EF8" w14:paraId="53648D52" w14:textId="77777777" w:rsidTr="00250207">
        <w:tc>
          <w:tcPr>
            <w:tcW w:w="2500" w:type="pct"/>
          </w:tcPr>
          <w:p w14:paraId="1C2855BB" w14:textId="77777777" w:rsidR="00B74902" w:rsidRPr="00482EF8" w:rsidRDefault="00B74902" w:rsidP="00324AD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Never been on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colecalciferol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and recommending it is OTC vitamin D of 400iu</w:t>
            </w:r>
          </w:p>
        </w:tc>
        <w:tc>
          <w:tcPr>
            <w:tcW w:w="2500" w:type="pct"/>
          </w:tcPr>
          <w:p w14:paraId="526DA520" w14:textId="77777777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Vitamin D prevention advice – 400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daily</w:t>
            </w:r>
          </w:p>
        </w:tc>
      </w:tr>
      <w:tr w:rsidR="00B74902" w:rsidRPr="00482EF8" w14:paraId="5B5E29CC" w14:textId="77777777" w:rsidTr="00250207">
        <w:tc>
          <w:tcPr>
            <w:tcW w:w="2500" w:type="pct"/>
          </w:tcPr>
          <w:p w14:paraId="37B663D5" w14:textId="7FE6D20D" w:rsidR="00B74902" w:rsidRPr="00482EF8" w:rsidRDefault="00B74902" w:rsidP="00324AD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Have completed a treatment (high) dose course (7 to 12 weeks depending on dose) of vitamin D </w:t>
            </w:r>
            <w:r w:rsidRPr="00482EF8">
              <w:rPr>
                <w:rFonts w:cstheme="minorHAnsi"/>
                <w:b/>
                <w:bCs/>
                <w:sz w:val="24"/>
                <w:szCs w:val="24"/>
              </w:rPr>
              <w:t>or</w:t>
            </w:r>
            <w:r w:rsidRPr="00482EF8">
              <w:rPr>
                <w:rFonts w:cstheme="minorHAnsi"/>
                <w:sz w:val="24"/>
                <w:szCs w:val="24"/>
              </w:rPr>
              <w:t xml:space="preserve"> a course of vitamin D for insufficiency (12 weeks) and now recommending higher dose </w:t>
            </w:r>
            <w:r w:rsidR="009658F7" w:rsidRPr="00482EF8">
              <w:rPr>
                <w:rFonts w:cstheme="minorHAnsi"/>
                <w:sz w:val="24"/>
                <w:szCs w:val="24"/>
              </w:rPr>
              <w:t>of OTC</w:t>
            </w:r>
            <w:r w:rsidRPr="00482EF8">
              <w:rPr>
                <w:rFonts w:cstheme="minorHAnsi"/>
                <w:sz w:val="24"/>
                <w:szCs w:val="24"/>
              </w:rPr>
              <w:t xml:space="preserve"> vitamin D of 1000iu  </w:t>
            </w:r>
          </w:p>
        </w:tc>
        <w:tc>
          <w:tcPr>
            <w:tcW w:w="2500" w:type="pct"/>
          </w:tcPr>
          <w:p w14:paraId="6B20C296" w14:textId="77777777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Vitamin D maintenance advice – 800 – 2000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daily</w:t>
            </w:r>
          </w:p>
          <w:p w14:paraId="62D5D705" w14:textId="77777777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</w:p>
          <w:p w14:paraId="40A6D5A0" w14:textId="3E24E73B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>Or to prescribe</w:t>
            </w:r>
            <w:r w:rsidR="00250207" w:rsidRPr="00482EF8">
              <w:rPr>
                <w:rFonts w:cstheme="minorHAnsi"/>
                <w:sz w:val="24"/>
                <w:szCs w:val="24"/>
              </w:rPr>
              <w:t xml:space="preserve"> if they meet criteria for prescribing </w:t>
            </w:r>
          </w:p>
        </w:tc>
      </w:tr>
      <w:tr w:rsidR="00B74902" w:rsidRPr="00482EF8" w14:paraId="064F9360" w14:textId="77777777" w:rsidTr="00250207">
        <w:tc>
          <w:tcPr>
            <w:tcW w:w="2500" w:type="pct"/>
          </w:tcPr>
          <w:p w14:paraId="46766CAC" w14:textId="77777777" w:rsidR="00B74902" w:rsidRPr="00482EF8" w:rsidRDefault="00B74902" w:rsidP="00324AD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Patients who have insufficient vitamin D (Levels of 25 to 50) but do not have high risk factors should be recommended to buy higher dose of OTC vitamin D at 800 to 2000iu per day and not 400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per day</w:t>
            </w:r>
          </w:p>
        </w:tc>
        <w:tc>
          <w:tcPr>
            <w:tcW w:w="2500" w:type="pct"/>
          </w:tcPr>
          <w:p w14:paraId="4833DC19" w14:textId="77777777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Vitamin D maintenance advice – 800 – 2000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daily </w:t>
            </w:r>
          </w:p>
          <w:p w14:paraId="088F8E37" w14:textId="5C5BC896" w:rsidR="00B74902" w:rsidRPr="00482EF8" w:rsidRDefault="00250207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>Or to prescribe if they meet criteria for prescribing</w:t>
            </w:r>
          </w:p>
        </w:tc>
      </w:tr>
      <w:tr w:rsidR="00B74902" w:rsidRPr="00482EF8" w14:paraId="45631920" w14:textId="77777777" w:rsidTr="00250207">
        <w:tc>
          <w:tcPr>
            <w:tcW w:w="2500" w:type="pct"/>
          </w:tcPr>
          <w:p w14:paraId="35D5709D" w14:textId="2FEBB109" w:rsidR="00B74902" w:rsidRPr="00482EF8" w:rsidRDefault="00B74902" w:rsidP="00324AD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For patients in the high-risk category presenting with symptomatic insufficiency, can be prescribed on the NHS 800 – 2000 units of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colecalciferol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per day</w:t>
            </w:r>
          </w:p>
        </w:tc>
        <w:tc>
          <w:tcPr>
            <w:tcW w:w="2500" w:type="pct"/>
          </w:tcPr>
          <w:p w14:paraId="584E0D5A" w14:textId="1EB58691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>These patients should be prescribed for</w:t>
            </w:r>
            <w:r w:rsidR="00CA6FE0">
              <w:rPr>
                <w:rFonts w:cstheme="minorHAnsi"/>
                <w:sz w:val="24"/>
                <w:szCs w:val="24"/>
              </w:rPr>
              <w:t xml:space="preserve"> an </w:t>
            </w:r>
            <w:proofErr w:type="spellStart"/>
            <w:r w:rsidR="00CA6FE0">
              <w:rPr>
                <w:rFonts w:cstheme="minorHAnsi"/>
                <w:sz w:val="24"/>
                <w:szCs w:val="24"/>
              </w:rPr>
              <w:t>AccuRx</w:t>
            </w:r>
            <w:proofErr w:type="spellEnd"/>
            <w:r w:rsidR="00CA6FE0">
              <w:rPr>
                <w:rFonts w:cstheme="minorHAnsi"/>
                <w:sz w:val="24"/>
                <w:szCs w:val="24"/>
              </w:rPr>
              <w:t xml:space="preserve"> message is not required</w:t>
            </w:r>
          </w:p>
        </w:tc>
      </w:tr>
      <w:tr w:rsidR="00B74902" w:rsidRPr="00482EF8" w14:paraId="7F7FCBC6" w14:textId="77777777" w:rsidTr="00250207">
        <w:tc>
          <w:tcPr>
            <w:tcW w:w="2500" w:type="pct"/>
          </w:tcPr>
          <w:p w14:paraId="05C7BBE4" w14:textId="015334B6" w:rsidR="00B74902" w:rsidRPr="00482EF8" w:rsidRDefault="00B74902" w:rsidP="00324AD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For patients in the high-risk category </w:t>
            </w:r>
            <w:r w:rsidR="009658F7" w:rsidRPr="00482EF8">
              <w:rPr>
                <w:rFonts w:cstheme="minorHAnsi"/>
                <w:sz w:val="24"/>
                <w:szCs w:val="24"/>
              </w:rPr>
              <w:t>presenting asymptomatically</w:t>
            </w:r>
            <w:r w:rsidRPr="00482EF8">
              <w:rPr>
                <w:rFonts w:cstheme="minorHAnsi"/>
                <w:sz w:val="24"/>
                <w:szCs w:val="24"/>
              </w:rPr>
              <w:t xml:space="preserve"> should be recommended to buy OTC  800 – 2000 units of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colecalciferol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per day</w:t>
            </w:r>
          </w:p>
        </w:tc>
        <w:tc>
          <w:tcPr>
            <w:tcW w:w="2500" w:type="pct"/>
          </w:tcPr>
          <w:p w14:paraId="5A7FD672" w14:textId="77777777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Vitamin D maintenance advice – 800 – 2000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daily </w:t>
            </w:r>
          </w:p>
          <w:p w14:paraId="7552AB3A" w14:textId="5315AB23" w:rsidR="00B74902" w:rsidRPr="00482EF8" w:rsidRDefault="007C707A" w:rsidP="00324AD6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>Amend text for dose you want them to purchase</w:t>
            </w:r>
          </w:p>
        </w:tc>
      </w:tr>
      <w:tr w:rsidR="00B74902" w:rsidRPr="00482EF8" w14:paraId="487B7A90" w14:textId="77777777" w:rsidTr="00250207">
        <w:tc>
          <w:tcPr>
            <w:tcW w:w="2500" w:type="pct"/>
          </w:tcPr>
          <w:p w14:paraId="64B966EF" w14:textId="77777777" w:rsidR="00B74902" w:rsidRPr="00482EF8" w:rsidRDefault="00B74902" w:rsidP="00324AD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Patients currently on maintenance dose such as 400 to 2000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daily and do not need higher dose and have been inappropriately prescribed </w:t>
            </w:r>
          </w:p>
        </w:tc>
        <w:tc>
          <w:tcPr>
            <w:tcW w:w="2500" w:type="pct"/>
          </w:tcPr>
          <w:p w14:paraId="21688887" w14:textId="77777777" w:rsidR="00250207" w:rsidRPr="00482EF8" w:rsidRDefault="00B74902" w:rsidP="00250207">
            <w:pPr>
              <w:rPr>
                <w:rFonts w:cstheme="minorHAnsi"/>
                <w:sz w:val="24"/>
                <w:szCs w:val="24"/>
              </w:rPr>
            </w:pPr>
            <w:r w:rsidRPr="00482EF8">
              <w:rPr>
                <w:rFonts w:cstheme="minorHAnsi"/>
                <w:sz w:val="24"/>
                <w:szCs w:val="24"/>
              </w:rPr>
              <w:t xml:space="preserve">Stop prescribing and recommend 400 </w:t>
            </w:r>
            <w:proofErr w:type="spellStart"/>
            <w:r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482EF8">
              <w:rPr>
                <w:rFonts w:cstheme="minorHAnsi"/>
                <w:sz w:val="24"/>
                <w:szCs w:val="24"/>
              </w:rPr>
              <w:t xml:space="preserve"> vitamin D OTC – prevention leaflet</w:t>
            </w:r>
            <w:r w:rsidR="00250207" w:rsidRPr="00482EF8">
              <w:rPr>
                <w:rFonts w:cstheme="minorHAnsi"/>
                <w:sz w:val="24"/>
                <w:szCs w:val="24"/>
              </w:rPr>
              <w:t xml:space="preserve"> or if had treatment dose prior to the current dose then recommend 1000 </w:t>
            </w:r>
            <w:proofErr w:type="spellStart"/>
            <w:r w:rsidR="00250207"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="00250207" w:rsidRPr="00482EF8">
              <w:rPr>
                <w:rFonts w:cstheme="minorHAnsi"/>
                <w:sz w:val="24"/>
                <w:szCs w:val="24"/>
              </w:rPr>
              <w:t xml:space="preserve"> daily and give Vitamin D maintenance advice – 800 – 2000 </w:t>
            </w:r>
            <w:proofErr w:type="spellStart"/>
            <w:r w:rsidR="00250207" w:rsidRPr="00482EF8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="00250207" w:rsidRPr="00482EF8">
              <w:rPr>
                <w:rFonts w:cstheme="minorHAnsi"/>
                <w:sz w:val="24"/>
                <w:szCs w:val="24"/>
              </w:rPr>
              <w:t xml:space="preserve"> daily </w:t>
            </w:r>
          </w:p>
          <w:p w14:paraId="37AED057" w14:textId="424A7085" w:rsidR="00B74902" w:rsidRPr="00482EF8" w:rsidRDefault="00B74902" w:rsidP="00324A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4EA0CA" w14:textId="77777777" w:rsidR="00754472" w:rsidRPr="00482EF8" w:rsidRDefault="00754472" w:rsidP="007544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sectPr w:rsidR="00754472" w:rsidRPr="00482EF8" w:rsidSect="004650FE"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15B5" w14:textId="77777777" w:rsidR="00A91E7D" w:rsidRDefault="00A91E7D" w:rsidP="004650FE">
      <w:pPr>
        <w:spacing w:after="0" w:line="240" w:lineRule="auto"/>
      </w:pPr>
      <w:r>
        <w:separator/>
      </w:r>
    </w:p>
  </w:endnote>
  <w:endnote w:type="continuationSeparator" w:id="0">
    <w:p w14:paraId="7F05BA98" w14:textId="77777777" w:rsidR="00A91E7D" w:rsidRDefault="00A91E7D" w:rsidP="0046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1787" w14:textId="736F2D68" w:rsidR="004650FE" w:rsidRDefault="00670177">
    <w:pPr>
      <w:pStyle w:val="Footer"/>
    </w:pPr>
    <w:r>
      <w:t xml:space="preserve">Approved by </w:t>
    </w:r>
    <w:r w:rsidR="004650FE">
      <w:t>PC MO CRG Dec 2022</w:t>
    </w:r>
  </w:p>
  <w:p w14:paraId="0B2DF355" w14:textId="4FA2B658" w:rsidR="00670177" w:rsidRDefault="00670177">
    <w:pPr>
      <w:pStyle w:val="Footer"/>
    </w:pPr>
    <w:r>
      <w:t>Review 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2247" w14:textId="77777777" w:rsidR="00A91E7D" w:rsidRDefault="00A91E7D" w:rsidP="004650FE">
      <w:pPr>
        <w:spacing w:after="0" w:line="240" w:lineRule="auto"/>
      </w:pPr>
      <w:r>
        <w:separator/>
      </w:r>
    </w:p>
  </w:footnote>
  <w:footnote w:type="continuationSeparator" w:id="0">
    <w:p w14:paraId="291B4F76" w14:textId="77777777" w:rsidR="00A91E7D" w:rsidRDefault="00A91E7D" w:rsidP="0046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F3C6" w14:textId="0362B586" w:rsidR="00670177" w:rsidRPr="00670177" w:rsidRDefault="00670177" w:rsidP="00670177">
    <w:pPr>
      <w:pStyle w:val="Header"/>
      <w:jc w:val="center"/>
      <w:rPr>
        <w:b/>
        <w:bCs/>
      </w:rPr>
    </w:pPr>
    <w:r w:rsidRPr="00670177">
      <w:rPr>
        <w:b/>
        <w:bCs/>
      </w:rPr>
      <w:t>Surrey Heartlands ICB Medicines Optimisation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13"/>
    <w:multiLevelType w:val="multilevel"/>
    <w:tmpl w:val="6C54688E"/>
    <w:lvl w:ilvl="0">
      <w:start w:val="1"/>
      <w:numFmt w:val="decimal"/>
      <w:pStyle w:val="SDMMT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524EE2"/>
    <w:multiLevelType w:val="hybridMultilevel"/>
    <w:tmpl w:val="DCFA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7FD1"/>
    <w:multiLevelType w:val="hybridMultilevel"/>
    <w:tmpl w:val="E92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2A9A"/>
    <w:multiLevelType w:val="hybridMultilevel"/>
    <w:tmpl w:val="4164ED42"/>
    <w:lvl w:ilvl="0" w:tplc="88F6A80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5237"/>
    <w:multiLevelType w:val="hybridMultilevel"/>
    <w:tmpl w:val="6046C648"/>
    <w:lvl w:ilvl="0" w:tplc="2F9609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58F5"/>
    <w:multiLevelType w:val="hybridMultilevel"/>
    <w:tmpl w:val="B30422C4"/>
    <w:lvl w:ilvl="0" w:tplc="FD94E3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76CA2"/>
    <w:multiLevelType w:val="hybridMultilevel"/>
    <w:tmpl w:val="5310E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522422">
    <w:abstractNumId w:val="4"/>
  </w:num>
  <w:num w:numId="2" w16cid:durableId="1966764386">
    <w:abstractNumId w:val="4"/>
  </w:num>
  <w:num w:numId="3" w16cid:durableId="696002832">
    <w:abstractNumId w:val="3"/>
  </w:num>
  <w:num w:numId="4" w16cid:durableId="979653279">
    <w:abstractNumId w:val="5"/>
  </w:num>
  <w:num w:numId="5" w16cid:durableId="404302357">
    <w:abstractNumId w:val="0"/>
  </w:num>
  <w:num w:numId="6" w16cid:durableId="1802262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6928619">
    <w:abstractNumId w:val="6"/>
  </w:num>
  <w:num w:numId="8" w16cid:durableId="1043945409">
    <w:abstractNumId w:val="2"/>
  </w:num>
  <w:num w:numId="9" w16cid:durableId="54456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2"/>
    <w:rsid w:val="001D5D5A"/>
    <w:rsid w:val="00250207"/>
    <w:rsid w:val="00325559"/>
    <w:rsid w:val="004650FE"/>
    <w:rsid w:val="00482EF8"/>
    <w:rsid w:val="004B42DB"/>
    <w:rsid w:val="004E1761"/>
    <w:rsid w:val="00670177"/>
    <w:rsid w:val="0072216E"/>
    <w:rsid w:val="00754472"/>
    <w:rsid w:val="0078120B"/>
    <w:rsid w:val="007C707A"/>
    <w:rsid w:val="0085146E"/>
    <w:rsid w:val="009537E1"/>
    <w:rsid w:val="009658F7"/>
    <w:rsid w:val="00966799"/>
    <w:rsid w:val="009A620E"/>
    <w:rsid w:val="00A03761"/>
    <w:rsid w:val="00A91E7D"/>
    <w:rsid w:val="00AB45C2"/>
    <w:rsid w:val="00AD3960"/>
    <w:rsid w:val="00B74902"/>
    <w:rsid w:val="00CA6FE0"/>
    <w:rsid w:val="00CD743E"/>
    <w:rsid w:val="00D4018C"/>
    <w:rsid w:val="00DA130D"/>
    <w:rsid w:val="00E27214"/>
    <w:rsid w:val="00E72E28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B48B4"/>
  <w15:chartTrackingRefBased/>
  <w15:docId w15:val="{776E8AC9-6FF5-41EE-8B4D-ACD99379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43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36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482EF8"/>
    <w:pPr>
      <w:spacing w:before="100" w:beforeAutospacing="1" w:after="100" w:afterAutospacing="1" w:line="240" w:lineRule="auto"/>
      <w:outlineLvl w:val="1"/>
    </w:pPr>
    <w:rPr>
      <w:rFonts w:eastAsia="Times New Roman" w:cstheme="minorHAnsi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DMMTTitle">
    <w:name w:val="SD MMT Title"/>
    <w:basedOn w:val="Heading1"/>
    <w:next w:val="Normal"/>
    <w:link w:val="SDMMTTitleChar"/>
    <w:autoRedefine/>
    <w:qFormat/>
    <w:rsid w:val="00CD743E"/>
    <w:pPr>
      <w:spacing w:line="360" w:lineRule="auto"/>
      <w:jc w:val="center"/>
    </w:pPr>
    <w:rPr>
      <w:rFonts w:cstheme="minorHAnsi"/>
      <w:b w:val="0"/>
      <w:color w:val="0000CC"/>
    </w:rPr>
  </w:style>
  <w:style w:type="character" w:customStyle="1" w:styleId="SDMMTTitleChar">
    <w:name w:val="SD MMT Title Char"/>
    <w:basedOn w:val="Heading1Char"/>
    <w:link w:val="SDMMTTitle"/>
    <w:rsid w:val="00CD743E"/>
    <w:rPr>
      <w:rFonts w:asciiTheme="majorHAnsi" w:eastAsiaTheme="majorEastAsia" w:hAnsiTheme="majorHAnsi" w:cstheme="minorHAnsi"/>
      <w:b w:val="0"/>
      <w:color w:val="0000CC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D743E"/>
    <w:rPr>
      <w:rFonts w:asciiTheme="majorHAnsi" w:eastAsiaTheme="majorEastAsia" w:hAnsiTheme="majorHAnsi" w:cstheme="majorBidi"/>
      <w:b/>
      <w:color w:val="0070C0"/>
      <w:sz w:val="36"/>
      <w:szCs w:val="32"/>
    </w:rPr>
  </w:style>
  <w:style w:type="paragraph" w:customStyle="1" w:styleId="SDMMTHeading1">
    <w:name w:val="SD MMT Heading 1"/>
    <w:basedOn w:val="Heading2"/>
    <w:next w:val="Normal"/>
    <w:link w:val="SDMMTHeading1Char"/>
    <w:autoRedefine/>
    <w:qFormat/>
    <w:rsid w:val="00482EF8"/>
    <w:pPr>
      <w:numPr>
        <w:numId w:val="5"/>
      </w:numPr>
      <w:spacing w:before="0" w:after="0"/>
      <w:ind w:hanging="360"/>
      <w:outlineLvl w:val="9"/>
    </w:pPr>
    <w:rPr>
      <w:b w:val="0"/>
      <w:bCs/>
      <w:color w:val="0000CC"/>
    </w:rPr>
  </w:style>
  <w:style w:type="character" w:customStyle="1" w:styleId="SDMMTHeading1Char">
    <w:name w:val="SD MMT Heading 1 Char"/>
    <w:basedOn w:val="Heading2Char"/>
    <w:link w:val="SDMMTHeading1"/>
    <w:rsid w:val="00482EF8"/>
    <w:rPr>
      <w:rFonts w:eastAsia="Times New Roman" w:cstheme="minorHAnsi"/>
      <w:b w:val="0"/>
      <w:bCs/>
      <w:color w:val="0000CC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2EF8"/>
    <w:rPr>
      <w:rFonts w:eastAsia="Times New Roman" w:cstheme="minorHAnsi"/>
      <w:b/>
      <w:sz w:val="24"/>
      <w:szCs w:val="24"/>
      <w:lang w:eastAsia="en-GB"/>
    </w:rPr>
  </w:style>
  <w:style w:type="paragraph" w:customStyle="1" w:styleId="SDMMTHeading2">
    <w:name w:val="SD MMT Heading 2"/>
    <w:basedOn w:val="SDMMTHeading1"/>
    <w:next w:val="Normal"/>
    <w:link w:val="SDMMTHeading2Char"/>
    <w:autoRedefine/>
    <w:qFormat/>
    <w:rsid w:val="00CD743E"/>
    <w:pPr>
      <w:numPr>
        <w:numId w:val="0"/>
      </w:numPr>
      <w:tabs>
        <w:tab w:val="num" w:pos="720"/>
      </w:tabs>
      <w:ind w:left="1080" w:hanging="720"/>
    </w:pPr>
    <w:rPr>
      <w:sz w:val="32"/>
      <w:szCs w:val="28"/>
    </w:rPr>
  </w:style>
  <w:style w:type="character" w:customStyle="1" w:styleId="SDMMTHeading2Char">
    <w:name w:val="SD MMT Heading 2 Char"/>
    <w:basedOn w:val="SDMMTHeading1Char"/>
    <w:link w:val="SDMMTHeading2"/>
    <w:rsid w:val="00CD743E"/>
    <w:rPr>
      <w:rFonts w:eastAsia="Times New Roman" w:cstheme="minorHAnsi"/>
      <w:b w:val="0"/>
      <w:bCs/>
      <w:color w:val="0000CC"/>
      <w:sz w:val="32"/>
      <w:szCs w:val="28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D743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C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3E"/>
    <w:rPr>
      <w:rFonts w:asciiTheme="majorHAnsi" w:eastAsiaTheme="majorEastAsia" w:hAnsiTheme="majorHAnsi" w:cstheme="majorBidi"/>
      <w:b/>
      <w:color w:val="0000CC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9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E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5146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5146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85146E"/>
    <w:rPr>
      <w:rFonts w:ascii="Segoe UI" w:hAnsi="Segoe UI" w:cs="Segoe UI" w:hint="default"/>
      <w:color w:val="4472C4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C707A"/>
    <w:pPr>
      <w:spacing w:line="259" w:lineRule="auto"/>
      <w:outlineLvl w:val="9"/>
    </w:pPr>
    <w:rPr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70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707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46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FE"/>
  </w:style>
  <w:style w:type="paragraph" w:styleId="Footer">
    <w:name w:val="footer"/>
    <w:basedOn w:val="Normal"/>
    <w:link w:val="FooterChar"/>
    <w:uiPriority w:val="99"/>
    <w:unhideWhenUsed/>
    <w:rsid w:val="0046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FE"/>
  </w:style>
  <w:style w:type="character" w:styleId="FollowedHyperlink">
    <w:name w:val="FollowedHyperlink"/>
    <w:basedOn w:val="DefaultParagraphFont"/>
    <w:uiPriority w:val="99"/>
    <w:semiHidden/>
    <w:unhideWhenUsed/>
    <w:rsid w:val="004E1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reyccg.res-systems.net/PAD/Content/Documents/2/Vitamin_D_prevention_advice%20for%20patients_v3.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rreyccg.res-systems.net/PAD/Content/Documents/2/Vitamin_D_maintenance_advice%20for%20patients_V1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6BE4-C01A-4810-B86A-925E1442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796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Jayesh (NHS SURREY HEARTLANDS ICB - 92A)</dc:creator>
  <cp:keywords/>
  <dc:description/>
  <cp:lastModifiedBy>Claridge Rachel (NHS Surrey Heartlands CCG)</cp:lastModifiedBy>
  <cp:revision>2</cp:revision>
  <cp:lastPrinted>2022-11-30T13:36:00Z</cp:lastPrinted>
  <dcterms:created xsi:type="dcterms:W3CDTF">2022-12-23T14:14:00Z</dcterms:created>
  <dcterms:modified xsi:type="dcterms:W3CDTF">2022-12-23T14:14:00Z</dcterms:modified>
</cp:coreProperties>
</file>